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70A3" w:rsidRDefault="00A96654">
      <w:pPr>
        <w:jc w:val="center"/>
      </w:pPr>
      <w:r>
        <w:rPr>
          <w:b/>
          <w:sz w:val="26"/>
          <w:szCs w:val="26"/>
        </w:rPr>
        <w:t xml:space="preserve">Konzept für </w:t>
      </w:r>
      <w:r w:rsidR="00901326">
        <w:rPr>
          <w:b/>
          <w:sz w:val="26"/>
          <w:szCs w:val="26"/>
        </w:rPr>
        <w:t>die zweiwöchige</w:t>
      </w:r>
      <w:r>
        <w:rPr>
          <w:b/>
          <w:sz w:val="26"/>
          <w:szCs w:val="26"/>
        </w:rPr>
        <w:t xml:space="preserve"> </w:t>
      </w:r>
      <w:r w:rsidR="00901326">
        <w:rPr>
          <w:b/>
          <w:sz w:val="26"/>
          <w:szCs w:val="26"/>
        </w:rPr>
        <w:t>Sommerschule</w:t>
      </w:r>
      <w:r>
        <w:rPr>
          <w:b/>
          <w:sz w:val="26"/>
          <w:szCs w:val="26"/>
        </w:rPr>
        <w:t xml:space="preserve"> im </w:t>
      </w:r>
      <w:r>
        <w:rPr>
          <w:b/>
          <w:sz w:val="26"/>
          <w:szCs w:val="26"/>
        </w:rPr>
        <w:br/>
        <w:t>Fraunhofer-Institut für Algorithmen und W</w:t>
      </w:r>
      <w:r w:rsidR="004958AB">
        <w:rPr>
          <w:b/>
          <w:sz w:val="26"/>
          <w:szCs w:val="26"/>
        </w:rPr>
        <w:t>issenschaftliches Rechnen SCAI</w:t>
      </w:r>
      <w:r w:rsidR="004958AB">
        <w:rPr>
          <w:b/>
          <w:sz w:val="26"/>
          <w:szCs w:val="26"/>
        </w:rPr>
        <w:br/>
        <w:t>27</w:t>
      </w:r>
      <w:r>
        <w:rPr>
          <w:b/>
          <w:sz w:val="26"/>
          <w:szCs w:val="26"/>
        </w:rPr>
        <w:t>. Ju</w:t>
      </w:r>
      <w:r w:rsidR="004958AB">
        <w:rPr>
          <w:b/>
          <w:sz w:val="26"/>
          <w:szCs w:val="26"/>
        </w:rPr>
        <w:t>n</w:t>
      </w:r>
      <w:r>
        <w:rPr>
          <w:b/>
          <w:sz w:val="26"/>
          <w:szCs w:val="26"/>
        </w:rPr>
        <w:t xml:space="preserve">i bis </w:t>
      </w:r>
      <w:r w:rsidR="004958AB">
        <w:rPr>
          <w:b/>
          <w:sz w:val="26"/>
          <w:szCs w:val="26"/>
        </w:rPr>
        <w:t>8</w:t>
      </w:r>
      <w:r>
        <w:rPr>
          <w:b/>
          <w:sz w:val="26"/>
          <w:szCs w:val="26"/>
        </w:rPr>
        <w:t>. Juli 202</w:t>
      </w:r>
      <w:r w:rsidR="004958AB">
        <w:rPr>
          <w:b/>
          <w:sz w:val="26"/>
          <w:szCs w:val="26"/>
        </w:rPr>
        <w:t>2</w:t>
      </w:r>
      <w:r>
        <w:rPr>
          <w:b/>
          <w:sz w:val="26"/>
          <w:szCs w:val="26"/>
        </w:rPr>
        <w:t xml:space="preserve"> </w:t>
      </w:r>
    </w:p>
    <w:p w:rsidR="005370A3" w:rsidRDefault="00A96654">
      <w:pPr>
        <w:jc w:val="center"/>
      </w:pPr>
      <w:r>
        <w:t xml:space="preserve">Stand: </w:t>
      </w:r>
      <w:r w:rsidR="00901326">
        <w:t>November</w:t>
      </w:r>
      <w:r>
        <w:t xml:space="preserve"> 202</w:t>
      </w:r>
      <w:r w:rsidR="00901326">
        <w:t>1</w:t>
      </w:r>
    </w:p>
    <w:p w:rsidR="005370A3" w:rsidRDefault="00A96654">
      <w:pPr>
        <w:pStyle w:val="berschrift3"/>
        <w:numPr>
          <w:ilvl w:val="0"/>
          <w:numId w:val="1"/>
        </w:numPr>
        <w:spacing w:after="120"/>
      </w:pPr>
      <w:r>
        <w:rPr>
          <w:rFonts w:ascii="Times New Roman" w:hAnsi="Times New Roman" w:cs="Times New Roman"/>
          <w:sz w:val="24"/>
          <w:szCs w:val="24"/>
        </w:rPr>
        <w:t xml:space="preserve">Ziele </w:t>
      </w:r>
      <w:r w:rsidR="00901326">
        <w:rPr>
          <w:rFonts w:ascii="Times New Roman" w:hAnsi="Times New Roman" w:cs="Times New Roman"/>
          <w:sz w:val="24"/>
          <w:szCs w:val="24"/>
        </w:rPr>
        <w:t>der</w:t>
      </w:r>
      <w:r>
        <w:rPr>
          <w:rFonts w:ascii="Times New Roman" w:hAnsi="Times New Roman" w:cs="Times New Roman"/>
          <w:sz w:val="24"/>
          <w:szCs w:val="24"/>
        </w:rPr>
        <w:t xml:space="preserve"> </w:t>
      </w:r>
      <w:r w:rsidR="00901326">
        <w:rPr>
          <w:rFonts w:ascii="Times New Roman" w:hAnsi="Times New Roman" w:cs="Times New Roman"/>
          <w:sz w:val="24"/>
          <w:szCs w:val="24"/>
        </w:rPr>
        <w:t>Sommerschule</w:t>
      </w:r>
      <w:r>
        <w:rPr>
          <w:rFonts w:ascii="Times New Roman" w:hAnsi="Times New Roman" w:cs="Times New Roman"/>
          <w:sz w:val="24"/>
          <w:szCs w:val="24"/>
        </w:rPr>
        <w:t>:</w:t>
      </w:r>
      <w:r>
        <w:rPr>
          <w:rFonts w:ascii="Times New Roman" w:hAnsi="Times New Roman" w:cs="Times New Roman"/>
        </w:rPr>
        <w:br/>
      </w:r>
      <w:r w:rsidR="00901326">
        <w:rPr>
          <w:rFonts w:ascii="Times New Roman" w:hAnsi="Times New Roman" w:cs="Times New Roman"/>
          <w:b w:val="0"/>
          <w:sz w:val="24"/>
          <w:szCs w:val="24"/>
        </w:rPr>
        <w:t>Die</w:t>
      </w:r>
      <w:r>
        <w:rPr>
          <w:rFonts w:ascii="Times New Roman" w:hAnsi="Times New Roman" w:cs="Times New Roman"/>
          <w:b w:val="0"/>
          <w:sz w:val="24"/>
          <w:szCs w:val="24"/>
        </w:rPr>
        <w:t xml:space="preserve"> </w:t>
      </w:r>
      <w:r w:rsidR="00901326">
        <w:rPr>
          <w:rFonts w:ascii="Times New Roman" w:hAnsi="Times New Roman" w:cs="Times New Roman"/>
          <w:b w:val="0"/>
          <w:sz w:val="24"/>
          <w:szCs w:val="24"/>
        </w:rPr>
        <w:t>Sommerschule</w:t>
      </w:r>
      <w:r>
        <w:rPr>
          <w:rFonts w:ascii="Times New Roman" w:hAnsi="Times New Roman" w:cs="Times New Roman"/>
          <w:b w:val="0"/>
          <w:sz w:val="24"/>
          <w:szCs w:val="24"/>
        </w:rPr>
        <w:t xml:space="preserve"> soll einen Einblick in das Wissenschaftliche Rechnen ermöglichen und erfahrbar machen, welche Methoden und Arbeitsweisen in diesem Arbeitsgebiet des Instituts von grundlegender </w:t>
      </w:r>
      <w:r w:rsidR="00901326">
        <w:rPr>
          <w:rFonts w:ascii="Times New Roman" w:hAnsi="Times New Roman" w:cs="Times New Roman"/>
          <w:b w:val="0"/>
          <w:sz w:val="24"/>
          <w:szCs w:val="24"/>
        </w:rPr>
        <w:t xml:space="preserve">Bedeutung sind. Die Inhalte der Sommerschule </w:t>
      </w:r>
      <w:r>
        <w:rPr>
          <w:rFonts w:ascii="Times New Roman" w:hAnsi="Times New Roman" w:cs="Times New Roman"/>
          <w:b w:val="0"/>
          <w:sz w:val="24"/>
          <w:szCs w:val="24"/>
        </w:rPr>
        <w:t>werden in Anleh</w:t>
      </w:r>
      <w:r>
        <w:rPr>
          <w:rFonts w:ascii="Times New Roman" w:hAnsi="Times New Roman" w:cs="Times New Roman"/>
          <w:b w:val="0"/>
          <w:sz w:val="24"/>
          <w:szCs w:val="24"/>
        </w:rPr>
        <w:t>nung an die laufende Arbeit im Institut ausgewählt. So sollen Bezüge aufgezeigt und Einblicke in die Arbeiten des Instituts gegeben werden. Wesentliche Bestandteile de</w:t>
      </w:r>
      <w:r w:rsidR="00901326">
        <w:rPr>
          <w:rFonts w:ascii="Times New Roman" w:hAnsi="Times New Roman" w:cs="Times New Roman"/>
          <w:b w:val="0"/>
          <w:sz w:val="24"/>
          <w:szCs w:val="24"/>
        </w:rPr>
        <w:t>r Sommerschule</w:t>
      </w:r>
      <w:r>
        <w:rPr>
          <w:rFonts w:ascii="Times New Roman" w:hAnsi="Times New Roman" w:cs="Times New Roman"/>
          <w:b w:val="0"/>
          <w:sz w:val="24"/>
          <w:szCs w:val="24"/>
        </w:rPr>
        <w:t xml:space="preserve"> sind auch das Sammeln von Erfahrungen bei der Programmierung effizienter ite</w:t>
      </w:r>
      <w:r>
        <w:rPr>
          <w:rFonts w:ascii="Times New Roman" w:hAnsi="Times New Roman" w:cs="Times New Roman"/>
          <w:b w:val="0"/>
          <w:sz w:val="24"/>
          <w:szCs w:val="24"/>
        </w:rPr>
        <w:t xml:space="preserve">rativer Algorithmen zur Lösung großer Gleichungssysteme sowie das Kennenlernen mehrerer anderer Themenfelder. </w:t>
      </w:r>
      <w:r>
        <w:rPr>
          <w:rFonts w:ascii="Times New Roman" w:hAnsi="Times New Roman" w:cs="Times New Roman"/>
          <w:b w:val="0"/>
          <w:sz w:val="24"/>
          <w:szCs w:val="24"/>
        </w:rPr>
        <w:br/>
        <w:t>Zielgruppe de</w:t>
      </w:r>
      <w:r w:rsidR="00901326">
        <w:rPr>
          <w:rFonts w:ascii="Times New Roman" w:hAnsi="Times New Roman" w:cs="Times New Roman"/>
          <w:b w:val="0"/>
          <w:sz w:val="24"/>
          <w:szCs w:val="24"/>
        </w:rPr>
        <w:t>r Sommerschule</w:t>
      </w:r>
      <w:r>
        <w:rPr>
          <w:rFonts w:ascii="Times New Roman" w:hAnsi="Times New Roman" w:cs="Times New Roman"/>
          <w:b w:val="0"/>
          <w:sz w:val="24"/>
          <w:szCs w:val="24"/>
        </w:rPr>
        <w:t xml:space="preserve"> sind Schüler</w:t>
      </w:r>
      <w:r w:rsidR="00901326">
        <w:rPr>
          <w:rFonts w:ascii="Times New Roman" w:hAnsi="Times New Roman" w:cs="Times New Roman"/>
          <w:b w:val="0"/>
          <w:sz w:val="24"/>
          <w:szCs w:val="24"/>
        </w:rPr>
        <w:t>innen und Schüler</w:t>
      </w:r>
      <w:r>
        <w:rPr>
          <w:rFonts w:ascii="Times New Roman" w:hAnsi="Times New Roman" w:cs="Times New Roman"/>
          <w:b w:val="0"/>
          <w:sz w:val="24"/>
          <w:szCs w:val="24"/>
        </w:rPr>
        <w:t xml:space="preserve"> der Klassen 9 bis 13.</w:t>
      </w:r>
    </w:p>
    <w:p w:rsidR="005370A3" w:rsidRDefault="00A96654">
      <w:pPr>
        <w:pStyle w:val="berschrift3"/>
        <w:spacing w:after="120"/>
        <w:rPr>
          <w:rFonts w:ascii="Times New Roman" w:hAnsi="Times New Roman" w:cs="Times New Roman"/>
          <w:sz w:val="24"/>
          <w:szCs w:val="24"/>
        </w:rPr>
      </w:pPr>
      <w:r>
        <w:rPr>
          <w:rFonts w:ascii="Times New Roman" w:hAnsi="Times New Roman" w:cs="Times New Roman"/>
          <w:sz w:val="24"/>
          <w:szCs w:val="24"/>
        </w:rPr>
        <w:t>Überblick (Inhalte, Dauer)</w:t>
      </w:r>
    </w:p>
    <w:tbl>
      <w:tblPr>
        <w:tblW w:w="8839"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513"/>
        <w:gridCol w:w="1326"/>
      </w:tblGrid>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b/>
                <w:sz w:val="22"/>
                <w:szCs w:val="22"/>
              </w:rPr>
            </w:pPr>
            <w:r>
              <w:rPr>
                <w:b/>
                <w:sz w:val="22"/>
                <w:szCs w:val="22"/>
              </w:rPr>
              <w:t>Thema</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b/>
                <w:sz w:val="22"/>
                <w:szCs w:val="22"/>
              </w:rPr>
            </w:pPr>
            <w:r>
              <w:rPr>
                <w:b/>
                <w:sz w:val="22"/>
                <w:szCs w:val="22"/>
              </w:rPr>
              <w:t>Dauer</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Überblick über die wissenschaftlichen</w:t>
            </w:r>
            <w:r>
              <w:rPr>
                <w:sz w:val="22"/>
                <w:szCs w:val="22"/>
              </w:rPr>
              <w:t xml:space="preserve"> Inhalte am Fraunhofer-Institut SCAI</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0,5 Tage</w:t>
            </w:r>
          </w:p>
        </w:tc>
      </w:tr>
      <w:tr w:rsidR="005370A3">
        <w:trPr>
          <w:cantSplit/>
          <w:trHeight w:val="454"/>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Einführung in die Programmiersprache Python</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3 Tage</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Einführung in einfache iterative Verfahren und in Mehrgitterverfahren zur Lösung großer linearer Gleichungssysteme</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1 Tag</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 xml:space="preserve">Programmierung von einfachen </w:t>
            </w:r>
            <w:r>
              <w:rPr>
                <w:sz w:val="22"/>
                <w:szCs w:val="22"/>
              </w:rPr>
              <w:t>iterativen Lösungsverfahren und von Mehrgitterverfahren</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2 Tage</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 xml:space="preserve">Verkehrssimulation mit zellulären Automaten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1 Tag</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Praktische Behandlung von Optimierungsproblemen</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1 Tag</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pPr>
              <w:rPr>
                <w:sz w:val="22"/>
                <w:szCs w:val="22"/>
              </w:rPr>
            </w:pPr>
            <w:r>
              <w:rPr>
                <w:sz w:val="22"/>
                <w:szCs w:val="22"/>
              </w:rPr>
              <w:t>Verschlüsselung mit Hilfe großer Primzahlen</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1 Tag</w:t>
            </w:r>
          </w:p>
        </w:tc>
      </w:tr>
      <w:tr w:rsidR="005370A3">
        <w:trPr>
          <w:cantSplit/>
        </w:trPr>
        <w:tc>
          <w:tcPr>
            <w:tcW w:w="7513" w:type="dxa"/>
            <w:tcBorders>
              <w:top w:val="single" w:sz="4" w:space="0" w:color="000000"/>
              <w:left w:val="single" w:sz="4" w:space="0" w:color="000000"/>
              <w:bottom w:val="single" w:sz="4" w:space="0" w:color="000000"/>
            </w:tcBorders>
            <w:shd w:val="clear" w:color="auto" w:fill="auto"/>
            <w:tcMar>
              <w:left w:w="103" w:type="dxa"/>
            </w:tcMar>
            <w:vAlign w:val="center"/>
          </w:tcPr>
          <w:p w:rsidR="005370A3" w:rsidRDefault="00A96654">
            <w:r>
              <w:rPr>
                <w:sz w:val="22"/>
                <w:szCs w:val="22"/>
              </w:rPr>
              <w:t>Der Audiokompressionsstandard mp3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370A3" w:rsidRDefault="00A96654">
            <w:pPr>
              <w:rPr>
                <w:sz w:val="22"/>
                <w:szCs w:val="22"/>
              </w:rPr>
            </w:pPr>
            <w:r>
              <w:rPr>
                <w:sz w:val="22"/>
                <w:szCs w:val="22"/>
              </w:rPr>
              <w:t>0,5 Tage</w:t>
            </w:r>
          </w:p>
        </w:tc>
      </w:tr>
    </w:tbl>
    <w:p w:rsidR="005370A3" w:rsidRDefault="00A96654">
      <w:pPr>
        <w:pStyle w:val="berschrift3"/>
        <w:spacing w:after="120"/>
        <w:rPr>
          <w:rFonts w:ascii="Times New Roman" w:hAnsi="Times New Roman" w:cs="Times New Roman"/>
          <w:sz w:val="24"/>
          <w:szCs w:val="24"/>
        </w:rPr>
      </w:pPr>
      <w:r>
        <w:rPr>
          <w:rFonts w:ascii="Times New Roman" w:hAnsi="Times New Roman" w:cs="Times New Roman"/>
          <w:sz w:val="24"/>
          <w:szCs w:val="24"/>
        </w:rPr>
        <w:t xml:space="preserve">Erläuterungen zu den einzelnen Bausteinen </w:t>
      </w:r>
      <w:r w:rsidR="004958AB">
        <w:rPr>
          <w:rFonts w:ascii="Times New Roman" w:hAnsi="Times New Roman" w:cs="Times New Roman"/>
          <w:sz w:val="24"/>
          <w:szCs w:val="24"/>
        </w:rPr>
        <w:t>der</w:t>
      </w:r>
      <w:r>
        <w:rPr>
          <w:rFonts w:ascii="Times New Roman" w:hAnsi="Times New Roman" w:cs="Times New Roman"/>
          <w:sz w:val="24"/>
          <w:szCs w:val="24"/>
        </w:rPr>
        <w:t xml:space="preserve"> </w:t>
      </w:r>
      <w:r w:rsidR="004958AB">
        <w:rPr>
          <w:rFonts w:ascii="Times New Roman" w:hAnsi="Times New Roman" w:cs="Times New Roman"/>
          <w:sz w:val="24"/>
          <w:szCs w:val="24"/>
        </w:rPr>
        <w:t>Sommerschule</w:t>
      </w:r>
    </w:p>
    <w:p w:rsidR="005370A3" w:rsidRDefault="00A96654">
      <w:pPr>
        <w:spacing w:after="120"/>
      </w:pPr>
      <w:r>
        <w:rPr>
          <w:b/>
        </w:rPr>
        <w:t xml:space="preserve">(1) Überblick über die wissenschaftlichen Inhalte am Fraunhofer-Institut SCAI </w:t>
      </w:r>
      <w:r>
        <w:rPr>
          <w:b/>
        </w:rPr>
        <w:br/>
      </w:r>
      <w:r>
        <w:t xml:space="preserve">Natürlich ist </w:t>
      </w:r>
      <w:r w:rsidR="00901326">
        <w:t>ein wesentlicher Bestandteil der Sommerschule</w:t>
      </w:r>
      <w:r>
        <w:t xml:space="preserve">, dass die </w:t>
      </w:r>
      <w:r w:rsidR="00901326">
        <w:t>Teilnehmenden</w:t>
      </w:r>
      <w:r>
        <w:t xml:space="preserve"> einen Einblick in die aktuell</w:t>
      </w:r>
      <w:r>
        <w:t xml:space="preserve">en Forschungsthemen des Instituts erhalten. Hierzu dient insbesondere ein ausführlicher Überblicksvortrag. Weiter werden informelle Gespräche der </w:t>
      </w:r>
      <w:r w:rsidR="00901326">
        <w:t>Teilnehmenden</w:t>
      </w:r>
      <w:r>
        <w:t xml:space="preserve"> mit Wissenschaftlern über Studium, Berufswahl etc. ermöglicht.</w:t>
      </w:r>
    </w:p>
    <w:p w:rsidR="005370A3" w:rsidRDefault="00A96654">
      <w:pPr>
        <w:spacing w:after="120"/>
      </w:pPr>
      <w:r>
        <w:rPr>
          <w:b/>
        </w:rPr>
        <w:t>(2) Einführung in die Programmiers</w:t>
      </w:r>
      <w:r>
        <w:rPr>
          <w:b/>
        </w:rPr>
        <w:t>prache Python</w:t>
      </w:r>
      <w:r>
        <w:rPr>
          <w:b/>
        </w:rPr>
        <w:br/>
      </w:r>
      <w:r>
        <w:t xml:space="preserve">Python ist eine Programmiersprache, die mehrere Programmierparadigmen unterstützt. Sie wurde mit dem Ziel entworfen, möglichst einfach und übersichtlich zu sein. Daher kann man mit Python schnell, einfach und leicht programmieren. Python ist </w:t>
      </w:r>
      <w:r>
        <w:t>u. a. besonders dort geeignet, wo Übersichtlichkeit und Lesbarkeit des Codes eine wichtige Rolle spielen,  z. B. in der Teamarbeit oder bei Programmieranfängern.</w:t>
      </w:r>
      <w:r>
        <w:br/>
      </w:r>
      <w:r>
        <w:rPr>
          <w:b/>
          <w:i/>
        </w:rPr>
        <w:t>Hintergrund:</w:t>
      </w:r>
      <w:r>
        <w:rPr>
          <w:b/>
        </w:rPr>
        <w:t xml:space="preserve"> </w:t>
      </w:r>
      <w:r>
        <w:t>Ein Merkmal des Wissenschaftlichen Rechnens ist die Nutzung von Computern zur Lös</w:t>
      </w:r>
      <w:r>
        <w:t>ung von wissenschaftlich-technischen Problemstellungen. Gewisse Grundkenntnisse in der Bedienung und Programmierung von Computern sind in der späteren beruflichen Praxis unabdingbar. Das Erlernen neuer Programmiersprachen bzw. neuer Versionen vorhandener P</w:t>
      </w:r>
      <w:r>
        <w:t>rogrammiersprachen ist ein typischer (und immer wiederkehrender) Bestandteil der Arbeiten im Bereich des Wissenschaftlichen Rechnens.</w:t>
      </w:r>
    </w:p>
    <w:p w:rsidR="005370A3" w:rsidRDefault="00A96654">
      <w:pPr>
        <w:spacing w:after="120"/>
      </w:pPr>
      <w:r>
        <w:rPr>
          <w:b/>
        </w:rPr>
        <w:t>(3) Einführung in einfache iterative Verfahren und in Mehrgitterverfahren zur Lösung großer linearer Gleichungssysteme</w:t>
      </w:r>
      <w:r>
        <w:rPr>
          <w:b/>
        </w:rPr>
        <w:br/>
      </w:r>
      <w:r>
        <w:t xml:space="preserve">In </w:t>
      </w:r>
      <w:r>
        <w:t xml:space="preserve">vielen Anwendungen des Wissenschaftlichen Rechnens sind große Gleichungssysteme zu </w:t>
      </w:r>
      <w:r>
        <w:lastRenderedPageBreak/>
        <w:t>lösen. Lineare Gleichungssysteme und ihre Lösung sind Schüler</w:t>
      </w:r>
      <w:r w:rsidR="00901326">
        <w:t>innen und Schüler</w:t>
      </w:r>
      <w:r>
        <w:t xml:space="preserve">n aus dem Mathematikunterricht her bekannt. Direkte Anknüpfungspunkte für die </w:t>
      </w:r>
      <w:r w:rsidR="00901326">
        <w:t>Teilnehmenden</w:t>
      </w:r>
      <w:r>
        <w:t xml:space="preserve"> sind daher vorhanden.</w:t>
      </w:r>
      <w:r>
        <w:t xml:space="preserve"> Standard-Lösungsverfahren wie das Gaußsche Eliminationsverfahren, das die Schüler</w:t>
      </w:r>
      <w:r w:rsidR="00901326">
        <w:t>innen und Schüler</w:t>
      </w:r>
      <w:r>
        <w:t xml:space="preserve"> in der Regel ebenfalls aus dem Unterricht her kennen, sind für viele Anwendungen jedoch nicht effizient genug.</w:t>
      </w:r>
      <w:r>
        <w:br/>
        <w:t xml:space="preserve">Die </w:t>
      </w:r>
      <w:r w:rsidR="00901326">
        <w:t>Teilnehmerinnen und Teilnehmer</w:t>
      </w:r>
      <w:r>
        <w:t xml:space="preserve"> erfahren, wie einfache iterative Verfahren aufgeba</w:t>
      </w:r>
      <w:r>
        <w:t>ut sind und wie sich aus derartigen Verfahren mit Hilfe des Mehrgitterprinzips äußerst effiziente Verfahren konstruieren lassen. Außerdem lernen sie am Beispiel der zweidimensionalen Poisson-Gleichung exemplarisch, wie die Lösung partieller Differentialgle</w:t>
      </w:r>
      <w:r>
        <w:t>ichungen (bei gegebenen Randwerten) durch den Prozess der „Diskretisierung“ näherungsweise auf die Lösung linearer Gleichungssysteme zurückgeführt werden kann. Die dabei eingeführten Fehler („Diskretisierungsfehler“) werden qualitativ diskutiert.</w:t>
      </w:r>
      <w:r>
        <w:rPr>
          <w:sz w:val="20"/>
          <w:szCs w:val="20"/>
        </w:rPr>
        <w:br/>
      </w:r>
      <w:r>
        <w:rPr>
          <w:b/>
          <w:i/>
        </w:rPr>
        <w:t>Hintergru</w:t>
      </w:r>
      <w:r>
        <w:rPr>
          <w:b/>
          <w:i/>
        </w:rPr>
        <w:t>nd:</w:t>
      </w:r>
      <w:r>
        <w:rPr>
          <w:b/>
        </w:rPr>
        <w:t xml:space="preserve"> </w:t>
      </w:r>
      <w:r>
        <w:t>Die theoretische Analyse von Mehrgitterverfahren ist recht kompliziert und wird im Rahmen eines Mathematik-Studiums in der Regel nicht vor dem 5. Semester unterrichtet. Das Prinzip und die Funktionsweise dieser Verfahren sind jedoch allgemein verständl</w:t>
      </w:r>
      <w:r>
        <w:t>ich und insbesondere auch für motivierte Schüler</w:t>
      </w:r>
      <w:r w:rsidR="00901326">
        <w:t>innen und Schüler</w:t>
      </w:r>
      <w:r>
        <w:t xml:space="preserve"> nachzuvollziehen. Der Vergleich der Rechenzeiten verschiedener Verfahren und die Diskussion der auftretenden Fehler machen einige Aspekte deutlich, die im Wissenschaftlichen Rechnen eine besondere Rolle spie</w:t>
      </w:r>
      <w:r>
        <w:t>len.</w:t>
      </w:r>
    </w:p>
    <w:p w:rsidR="005370A3" w:rsidRDefault="00A96654">
      <w:pPr>
        <w:spacing w:after="120"/>
        <w:rPr>
          <w:b/>
        </w:rPr>
      </w:pPr>
      <w:r>
        <w:rPr>
          <w:b/>
        </w:rPr>
        <w:t>(4) Programmierung von einfachen iterativen Lösungsverfahren und von Mehrgitterverfahren</w:t>
      </w:r>
    </w:p>
    <w:p w:rsidR="005370A3" w:rsidRDefault="00A96654">
      <w:pPr>
        <w:spacing w:after="120"/>
      </w:pPr>
      <w:r>
        <w:t>Ein wesentlicher Bestandteil des Wissenschaftlichen Rechnens ist die Programmierung von Algorithmen, die entweder aus der wissenschaftlichen Literatur her bekannt</w:t>
      </w:r>
      <w:r>
        <w:t xml:space="preserve"> sind oder die man aufgrund eigener Überlegungen entwickelt. Diese Arbeit ist hier erfahrbar.</w:t>
      </w:r>
    </w:p>
    <w:p w:rsidR="005370A3" w:rsidRDefault="00A96654">
      <w:pPr>
        <w:spacing w:after="120"/>
      </w:pPr>
      <w:r>
        <w:rPr>
          <w:b/>
          <w:i/>
        </w:rPr>
        <w:t>Hintergrund:</w:t>
      </w:r>
      <w:r>
        <w:t xml:space="preserve"> Erfahrungsgemäß hat man einen neuen Algorithmus erst dann bis ins letzte Detail verstanden, wenn man ihn programmiert hat, denn in einem Programm mus</w:t>
      </w:r>
      <w:r>
        <w:t>s jeder einzelne Rechenschritt eindeutig und detailliert durchdacht und in Programm-Code umgesetzt werden. Hierbei hilft es immens, wenn die Schüler</w:t>
      </w:r>
      <w:r w:rsidR="00901326">
        <w:t>innen und Schüler</w:t>
      </w:r>
      <w:r>
        <w:t xml:space="preserve"> nicht einzeln, sondern in kleinen Gruppen von zwei (maximal drei) Personen gemeinsam arbeiten und gemeinsam</w:t>
      </w:r>
      <w:r>
        <w:t xml:space="preserve"> programmieren. Wenn die Kenntnisse der beiden nicht identisch sind, ist dies kein Hindernis. Ganz im Gegenteil, es entspricht der Realität der wissenschaftlichen Arbeit, wo gerade komplementäres Wissen und komplementäre Denkansätze außerordentlich befruch</w:t>
      </w:r>
      <w:r>
        <w:t>tend wirken können.</w:t>
      </w:r>
    </w:p>
    <w:p w:rsidR="005370A3" w:rsidRDefault="00A96654">
      <w:pPr>
        <w:spacing w:after="120"/>
      </w:pPr>
      <w:r>
        <w:rPr>
          <w:b/>
        </w:rPr>
        <w:t>(5) Ver</w:t>
      </w:r>
      <w:r>
        <w:rPr>
          <w:b/>
          <w:sz w:val="22"/>
          <w:szCs w:val="22"/>
        </w:rPr>
        <w:t>kehrssimulation mit zellulären Automaten, praktische Behandlung von Optimierungsproblemen, Verschlüsselung mit Hilfe großer Primzahlen, Audiokompressionsstandard mp3</w:t>
      </w:r>
    </w:p>
    <w:p w:rsidR="005370A3" w:rsidRDefault="00A96654">
      <w:pPr>
        <w:spacing w:after="120"/>
      </w:pPr>
      <w:r>
        <w:t xml:space="preserve">Anhand dieser Beispiele erhalten die </w:t>
      </w:r>
      <w:r w:rsidR="00901326">
        <w:t>Teilnehmenden</w:t>
      </w:r>
      <w:r>
        <w:t xml:space="preserve"> einen Einblic</w:t>
      </w:r>
      <w:r>
        <w:t xml:space="preserve">k in ganz unterschiedliche Anwendungsfelder, in denen </w:t>
      </w:r>
      <w:r w:rsidR="00901326">
        <w:t>moderne mathematische</w:t>
      </w:r>
      <w:r>
        <w:t xml:space="preserve"> Methoden </w:t>
      </w:r>
      <w:r w:rsidR="00901326">
        <w:t>zum Einsatz kommen</w:t>
      </w:r>
      <w:r>
        <w:t xml:space="preserve">. Dabei lernen die </w:t>
      </w:r>
      <w:r w:rsidR="00901326">
        <w:t>Teilnehmenden</w:t>
      </w:r>
      <w:r>
        <w:t xml:space="preserve"> ganz unterschiedliche Algorithmen kennen, teilweise entdecken sie </w:t>
      </w:r>
      <w:r w:rsidR="004958AB">
        <w:t xml:space="preserve">auch </w:t>
      </w:r>
      <w:r>
        <w:t>selbständig eigene Algorithmen zur Lö</w:t>
      </w:r>
      <w:r>
        <w:t>sung ausgewählter Anwendungsprobleme. Auch die Programmierung und die Bewertung der Algorithmen sind Bestandteil de</w:t>
      </w:r>
      <w:r w:rsidR="00901326">
        <w:t>r Sommerschule</w:t>
      </w:r>
      <w:r>
        <w:t>.</w:t>
      </w:r>
    </w:p>
    <w:p w:rsidR="005370A3" w:rsidRDefault="00A96654">
      <w:pPr>
        <w:spacing w:after="120"/>
      </w:pPr>
      <w:r>
        <w:rPr>
          <w:b/>
          <w:i/>
        </w:rPr>
        <w:t>Hintergrund:</w:t>
      </w:r>
      <w:r>
        <w:t xml:space="preserve"> </w:t>
      </w:r>
      <w:r w:rsidR="004958AB">
        <w:t>Mit Hilfe</w:t>
      </w:r>
      <w:r w:rsidR="00901326">
        <w:t xml:space="preserve"> dieser Anwendungsfelder</w:t>
      </w:r>
      <w:r>
        <w:t xml:space="preserve"> </w:t>
      </w:r>
      <w:r w:rsidR="004958AB">
        <w:t>lernen die</w:t>
      </w:r>
      <w:r>
        <w:t xml:space="preserve"> </w:t>
      </w:r>
      <w:r w:rsidR="00901326">
        <w:t>Teilnehmenden</w:t>
      </w:r>
      <w:r>
        <w:t xml:space="preserve"> </w:t>
      </w:r>
      <w:r w:rsidR="004958AB">
        <w:t xml:space="preserve">typische </w:t>
      </w:r>
      <w:r>
        <w:t>Arbeitsweisen des Wissenschaftlichen Rechnens</w:t>
      </w:r>
      <w:r w:rsidR="004958AB">
        <w:t xml:space="preserve"> kennen</w:t>
      </w:r>
      <w:bookmarkStart w:id="0" w:name="_GoBack"/>
      <w:bookmarkEnd w:id="0"/>
      <w:r>
        <w:t>.</w:t>
      </w:r>
    </w:p>
    <w:sectPr w:rsidR="005370A3">
      <w:footerReference w:type="default" r:id="rId7"/>
      <w:pgSz w:w="11906" w:h="16838"/>
      <w:pgMar w:top="1417" w:right="1417" w:bottom="1134"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54" w:rsidRDefault="00A96654">
      <w:r>
        <w:separator/>
      </w:r>
    </w:p>
  </w:endnote>
  <w:endnote w:type="continuationSeparator" w:id="0">
    <w:p w:rsidR="00A96654" w:rsidRDefault="00A9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Lucidasans;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A3" w:rsidRDefault="00A96654">
    <w:pPr>
      <w:pStyle w:val="Fuzeile"/>
      <w:jc w:val="center"/>
    </w:pPr>
    <w:r>
      <w:rPr>
        <w:rStyle w:val="Seitenzahl"/>
      </w:rPr>
      <w:fldChar w:fldCharType="begin"/>
    </w:r>
    <w:r>
      <w:instrText>PAGE \* ARABIC</w:instrText>
    </w:r>
    <w:r>
      <w:fldChar w:fldCharType="separate"/>
    </w:r>
    <w:r w:rsidR="004958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54" w:rsidRDefault="00A96654">
      <w:r>
        <w:separator/>
      </w:r>
    </w:p>
  </w:footnote>
  <w:footnote w:type="continuationSeparator" w:id="0">
    <w:p w:rsidR="00A96654" w:rsidRDefault="00A9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D52"/>
    <w:multiLevelType w:val="multilevel"/>
    <w:tmpl w:val="BC1CF7E4"/>
    <w:lvl w:ilvl="0">
      <w:start w:val="1"/>
      <w:numFmt w:val="none"/>
      <w:suff w:val="nothing"/>
      <w:lvlText w:val=""/>
      <w:lvlJc w:val="left"/>
      <w:pPr>
        <w:ind w:left="0" w:firstLine="0"/>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A3"/>
    <w:rsid w:val="004958AB"/>
    <w:rsid w:val="005370A3"/>
    <w:rsid w:val="00901326"/>
    <w:rsid w:val="00A96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1738"/>
  <w15:docId w15:val="{0AD4C685-FEC0-4838-9E10-62F76880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Zen Hei Sharp" w:hAnsi="Liberation Serif" w:cs="Lohit Devanagari"/>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eastAsia="Times New Roman" w:hAnsi="Times New Roman" w:cs="Times New Roman"/>
      <w:sz w:val="24"/>
      <w:lang w:bidi="ar-SA"/>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Absatz-Standardschriftart1">
    <w:name w:val="Absatz-Standardschriftart1"/>
    <w:qFormat/>
  </w:style>
  <w:style w:type="character" w:customStyle="1" w:styleId="WW-Absatz-Standardschriftart">
    <w:name w:val="WW-Absatz-Standardschriftart"/>
    <w:qFormat/>
  </w:style>
  <w:style w:type="character" w:styleId="Seitenzahl">
    <w:name w:val="page number"/>
    <w:basedOn w:val="WW-Absatz-Standardschriftart"/>
  </w:style>
  <w:style w:type="paragraph" w:customStyle="1" w:styleId="Heading">
    <w:name w:val="Heading"/>
    <w:basedOn w:val="Standard"/>
    <w:next w:val="Textkrper"/>
    <w:qFormat/>
    <w:pPr>
      <w:keepNext/>
      <w:spacing w:before="240" w:after="120"/>
    </w:pPr>
    <w:rPr>
      <w:rFonts w:ascii="Liberation Sans;Arial" w:eastAsia="WenQuanYi Zen Hei Sharp" w:hAnsi="Liberation Sans;Arial" w:cs="Lohit Devanagari;Times New Roma"/>
      <w:sz w:val="28"/>
      <w:szCs w:val="28"/>
    </w:rPr>
  </w:style>
  <w:style w:type="paragraph" w:styleId="Textkrper">
    <w:name w:val="Body Text"/>
    <w:basedOn w:val="Standard"/>
    <w:pPr>
      <w:spacing w:after="120"/>
    </w:pPr>
  </w:style>
  <w:style w:type="paragraph" w:styleId="Liste">
    <w:name w:val="List"/>
    <w:basedOn w:val="Textkrper"/>
    <w:rPr>
      <w:rFonts w:cs="Lucidasans;Times New Roman"/>
    </w:rPr>
  </w:style>
  <w:style w:type="paragraph" w:styleId="Beschriftung">
    <w:name w:val="caption"/>
    <w:basedOn w:val="Standard"/>
    <w:qFormat/>
    <w:pPr>
      <w:suppressLineNumbers/>
      <w:spacing w:before="120" w:after="120"/>
    </w:pPr>
    <w:rPr>
      <w:rFonts w:cs="Lohit Devanagari;Times New Roma"/>
      <w:i/>
      <w:iCs/>
    </w:rPr>
  </w:style>
  <w:style w:type="paragraph" w:customStyle="1" w:styleId="Index">
    <w:name w:val="Index"/>
    <w:basedOn w:val="Standard"/>
    <w:qFormat/>
    <w:pPr>
      <w:suppressLineNumbers/>
    </w:pPr>
    <w:rPr>
      <w:rFonts w:cs="Lohit Devanagari;Times New Roma"/>
    </w:rPr>
  </w:style>
  <w:style w:type="paragraph" w:customStyle="1" w:styleId="Beschriftung1">
    <w:name w:val="Beschriftung1"/>
    <w:basedOn w:val="Standard"/>
    <w:qFormat/>
    <w:pPr>
      <w:suppressLineNumbers/>
      <w:spacing w:before="120" w:after="120"/>
    </w:pPr>
    <w:rPr>
      <w:rFonts w:cs="Lucidasans;Times New Roman"/>
      <w:i/>
      <w:iCs/>
      <w:sz w:val="20"/>
      <w:szCs w:val="20"/>
    </w:rPr>
  </w:style>
  <w:style w:type="paragraph" w:customStyle="1" w:styleId="Verzeichnis">
    <w:name w:val="Verzeichnis"/>
    <w:basedOn w:val="Standard"/>
    <w:qFormat/>
    <w:pPr>
      <w:suppressLineNumbers/>
    </w:pPr>
    <w:rPr>
      <w:rFonts w:cs="Lucidasans;Times New Roman"/>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Textkrper"/>
    <w:qFormat/>
    <w:pPr>
      <w:suppressLineNumbers/>
    </w:pPr>
  </w:style>
  <w:style w:type="paragraph" w:customStyle="1" w:styleId="Tabellenberschrift">
    <w:name w:val="Tabellen Überschrift"/>
    <w:basedOn w:val="TabellenInhalt"/>
    <w:qFormat/>
    <w:pPr>
      <w:jc w:val="center"/>
    </w:pPr>
    <w:rPr>
      <w:b/>
      <w:bCs/>
      <w:i/>
      <w:iC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Konzept für ein zweiwöchiges Schnupperpraktikum bei Fraunhofer SCAI (SCAI-Sommerpraktikum)</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 für ein zweiwöchiges Schnupperpraktikum bei Fraunhofer SCAI (SCAI-Sommerpraktikum)</dc:title>
  <dc:subject/>
  <dc:creator>gmap23</dc:creator>
  <dc:description/>
  <cp:lastModifiedBy>Schueller, Anton</cp:lastModifiedBy>
  <cp:revision>2</cp:revision>
  <cp:lastPrinted>2009-02-25T12:35:00Z</cp:lastPrinted>
  <dcterms:created xsi:type="dcterms:W3CDTF">2021-11-17T11:54:00Z</dcterms:created>
  <dcterms:modified xsi:type="dcterms:W3CDTF">2021-11-17T11:54:00Z</dcterms:modified>
  <dc:language>de-DE</dc:language>
</cp:coreProperties>
</file>